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9EF" w:rsidRPr="00A76D16" w:rsidRDefault="00A76D16" w:rsidP="00A76D1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9"/>
          <w:szCs w:val="29"/>
          <w:lang w:eastAsia="ru-RU"/>
        </w:rPr>
      </w:pPr>
      <w:r w:rsidRPr="00A76D16">
        <w:rPr>
          <w:rFonts w:eastAsia="Times New Roman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СПРАВКА</w:t>
      </w:r>
    </w:p>
    <w:p w:rsidR="007569EF" w:rsidRPr="00A76D16" w:rsidRDefault="00831F33" w:rsidP="00A76D16">
      <w:pPr>
        <w:shd w:val="clear" w:color="auto" w:fill="FFFFFF"/>
        <w:spacing w:before="419" w:after="502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9"/>
          <w:szCs w:val="29"/>
          <w:lang w:eastAsia="ru-RU"/>
        </w:rPr>
      </w:pPr>
      <w:r w:rsidRPr="00A76D16">
        <w:rPr>
          <w:rFonts w:ascii="Helvetica" w:eastAsia="Times New Roman" w:hAnsi="Helvetica" w:cs="Helvetica"/>
          <w:b/>
          <w:color w:val="000000"/>
          <w:sz w:val="29"/>
          <w:szCs w:val="29"/>
          <w:lang w:eastAsia="ru-RU"/>
        </w:rPr>
        <w:t xml:space="preserve">по результатам </w:t>
      </w:r>
      <w:r w:rsidR="007569EF" w:rsidRPr="00A76D16">
        <w:rPr>
          <w:rFonts w:ascii="Helvetica" w:eastAsia="Times New Roman" w:hAnsi="Helvetica" w:cs="Helvetica"/>
          <w:b/>
          <w:color w:val="000000"/>
          <w:sz w:val="29"/>
          <w:szCs w:val="29"/>
          <w:lang w:eastAsia="ru-RU"/>
        </w:rPr>
        <w:t>диагностики читательской грамотности</w:t>
      </w:r>
    </w:p>
    <w:p w:rsidR="007569EF" w:rsidRPr="00A76D16" w:rsidRDefault="00831F33" w:rsidP="00A76D16">
      <w:pPr>
        <w:shd w:val="clear" w:color="auto" w:fill="FFFFFF"/>
        <w:spacing w:before="419" w:after="502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9"/>
          <w:szCs w:val="29"/>
          <w:lang w:eastAsia="ru-RU"/>
        </w:rPr>
      </w:pPr>
      <w:r w:rsidRPr="00A76D16">
        <w:rPr>
          <w:rFonts w:ascii="Helvetica" w:eastAsia="Times New Roman" w:hAnsi="Helvetica" w:cs="Helvetica"/>
          <w:b/>
          <w:color w:val="000000"/>
          <w:sz w:val="29"/>
          <w:szCs w:val="29"/>
          <w:lang w:eastAsia="ru-RU"/>
        </w:rPr>
        <w:t>в 5 – 9 классах МБОУ СОШ № 153 Дзержинского района г. Новосибирска</w:t>
      </w:r>
    </w:p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Диагностическая работа проводилась </w:t>
      </w:r>
      <w:r w:rsidR="00831F3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в 5 «Б» классе (24 человека, учитель Соловьёва Н.В.), в 6 «Б» классе (</w:t>
      </w:r>
      <w:r w:rsidR="00831F33"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="00831F3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25 человек, учитель Васильева И.В.), в 7</w:t>
      </w:r>
      <w:r w:rsid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 «</w:t>
      </w:r>
      <w:r w:rsidR="00831F3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И»</w:t>
      </w:r>
      <w:r w:rsid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классе ( 25 человек, учитель Васильева И.В), в 8 «И» классе («20 человек, учитель </w:t>
      </w:r>
      <w:proofErr w:type="spellStart"/>
      <w:r w:rsid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Дмитринёва</w:t>
      </w:r>
      <w:proofErr w:type="spellEnd"/>
      <w:r w:rsid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Г.В), в 9 «И» классе (22 человека, учитель Соловьёва Н.В.). Таким образом, в работе принимало участие 116 обучающихся.</w:t>
      </w:r>
    </w:p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диагностики: </w:t>
      </w: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определение уровня </w:t>
      </w:r>
      <w:proofErr w:type="spellStart"/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сформированности</w:t>
      </w:r>
      <w:proofErr w:type="spellEnd"/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читательских умений как наиболее важных составляющих </w:t>
      </w:r>
      <w:proofErr w:type="spellStart"/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метапредметных</w:t>
      </w:r>
      <w:proofErr w:type="spellEnd"/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результатов обучения </w:t>
      </w:r>
      <w:r w:rsid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.</w:t>
      </w:r>
    </w:p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Время </w:t>
      </w:r>
      <w:hyperlink r:id="rId6" w:tooltip="Выполнение работ" w:history="1">
        <w:r w:rsidRPr="000E6D9B">
          <w:rPr>
            <w:rFonts w:ascii="Helvetica" w:eastAsia="Times New Roman" w:hAnsi="Helvetica" w:cs="Helvetica"/>
            <w:b/>
            <w:bCs/>
            <w:sz w:val="29"/>
            <w:lang w:eastAsia="ru-RU"/>
          </w:rPr>
          <w:t>выполнения работы</w:t>
        </w:r>
      </w:hyperlink>
      <w:r w:rsidRPr="007569EF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: </w:t>
      </w:r>
      <w:r w:rsid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40 минут</w:t>
      </w:r>
    </w:p>
    <w:p w:rsidR="000E6D9B" w:rsidRDefault="000E6D9B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Назначение диагностической работы</w:t>
      </w:r>
    </w:p>
    <w:p w:rsidR="007569EF" w:rsidRPr="007569EF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Данная диагностическая работа позволила оценить </w:t>
      </w:r>
      <w:proofErr w:type="spellStart"/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сформированность</w:t>
      </w:r>
      <w:proofErr w:type="spellEnd"/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у учащихся следующих групп умений: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осуществлять поиск информации;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ориентироваться в содержании текста;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отвечать на вопросы, используя явно заданную в тексте информацию; интерпретировать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информацию;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отвечать на вопросы, используя неявно заданную информацию;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оценивать достоверность предложенной информации;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высказывать оценочные суждения на основе текста</w:t>
      </w:r>
      <w:r w:rsidR="000E6D9B"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создавать собственные тексты:</w:t>
      </w:r>
    </w:p>
    <w:p w:rsidR="007569EF" w:rsidRPr="000E6D9B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0E6D9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применять информацию из текста при решении учебно-практических задач.</w:t>
      </w:r>
    </w:p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7569EF" w:rsidRPr="007569EF" w:rsidRDefault="007569EF" w:rsidP="000E6D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. В каждом варианте используются задания различного типа:</w:t>
      </w:r>
    </w:p>
    <w:p w:rsidR="007569EF" w:rsidRPr="007569EF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· задания с выбором единственного верного ответа из четырех предложенных (ВО);</w:t>
      </w:r>
    </w:p>
    <w:p w:rsidR="007569EF" w:rsidRPr="007569EF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sym w:font="Symbol" w:char="F020"/>
      </w: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· задания с кратким ответом (КО);</w:t>
      </w:r>
    </w:p>
    <w:p w:rsidR="007569EF" w:rsidRPr="007569EF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· задания с развернутым ответом (РО), в которых требуется са</w:t>
      </w:r>
      <w:r w:rsidR="00E25C75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мостоятельно написать ответ.</w:t>
      </w: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.</w:t>
      </w:r>
    </w:p>
    <w:p w:rsidR="00E25C75" w:rsidRPr="00B60F6B" w:rsidRDefault="007569EF" w:rsidP="00E25C75">
      <w:pPr>
        <w:spacing w:after="0" w:line="240" w:lineRule="auto"/>
        <w:ind w:left="1416" w:firstLine="708"/>
        <w:rPr>
          <w:rFonts w:ascii="Times New Roman" w:eastAsia="MS Mincho" w:hAnsi="Times New Roman" w:cs="Times New Roman"/>
          <w:b/>
          <w:bCs/>
          <w:iCs/>
          <w:color w:val="091315"/>
          <w:sz w:val="24"/>
          <w:szCs w:val="24"/>
          <w:lang w:eastAsia="ja-JP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В каждом варианте представлены задания базового (Б), повышенного (П) и высокого (В) уровней сложности. Все варианты диагностической работы равноценны как по средней трудности, так и по примерному времени выполнения.</w:t>
      </w:r>
      <w:r w:rsidR="00E25C75" w:rsidRPr="00E25C75">
        <w:rPr>
          <w:rFonts w:ascii="Times New Roman" w:eastAsia="MS Mincho" w:hAnsi="Times New Roman" w:cs="Times New Roman"/>
          <w:b/>
          <w:bCs/>
          <w:iCs/>
          <w:color w:val="091315"/>
          <w:sz w:val="24"/>
          <w:szCs w:val="24"/>
          <w:lang w:eastAsia="ja-JP"/>
        </w:rPr>
        <w:t xml:space="preserve"> </w:t>
      </w:r>
      <w:r w:rsidR="00E25C75" w:rsidRPr="00B60F6B">
        <w:rPr>
          <w:rFonts w:ascii="Times New Roman" w:eastAsia="MS Mincho" w:hAnsi="Times New Roman" w:cs="Times New Roman"/>
          <w:b/>
          <w:bCs/>
          <w:iCs/>
          <w:color w:val="091315"/>
          <w:sz w:val="24"/>
          <w:szCs w:val="24"/>
          <w:lang w:eastAsia="ja-JP"/>
        </w:rPr>
        <w:t xml:space="preserve">Проверяемые когнитивные умения </w:t>
      </w:r>
    </w:p>
    <w:p w:rsidR="00E25C75" w:rsidRPr="00B60F6B" w:rsidRDefault="00E25C75" w:rsidP="00E25C75">
      <w:pPr>
        <w:spacing w:after="0" w:line="240" w:lineRule="auto"/>
        <w:ind w:left="1416" w:firstLine="708"/>
        <w:rPr>
          <w:rFonts w:ascii="Times New Roman" w:eastAsia="MS Mincho" w:hAnsi="Times New Roman" w:cs="Times New Roman"/>
          <w:b/>
          <w:bCs/>
          <w:iCs/>
          <w:color w:val="091315"/>
          <w:sz w:val="24"/>
          <w:szCs w:val="24"/>
          <w:lang w:eastAsia="ja-JP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3240"/>
        <w:gridCol w:w="3420"/>
      </w:tblGrid>
      <w:tr w:rsidR="00E25C75" w:rsidRPr="00B60F6B" w:rsidTr="002B0368">
        <w:trPr>
          <w:trHeight w:val="402"/>
          <w:tblCellSpacing w:w="0" w:type="dxa"/>
        </w:trPr>
        <w:tc>
          <w:tcPr>
            <w:tcW w:w="92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C75" w:rsidRPr="00E25C75" w:rsidRDefault="00E25C75" w:rsidP="002B036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Вид деятельности</w:t>
            </w:r>
          </w:p>
        </w:tc>
      </w:tr>
      <w:tr w:rsidR="00E25C75" w:rsidRPr="00B60F6B" w:rsidTr="002B0368">
        <w:trPr>
          <w:trHeight w:val="1200"/>
          <w:tblCellSpacing w:w="0" w:type="dxa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C75" w:rsidRPr="00E25C75" w:rsidRDefault="00E25C75" w:rsidP="002B036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Нахождение информации</w:t>
            </w:r>
          </w:p>
          <w:p w:rsidR="00E25C75" w:rsidRPr="00E25C75" w:rsidRDefault="00E25C75" w:rsidP="002B036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(25%)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C75" w:rsidRPr="00E25C75" w:rsidRDefault="00E25C75" w:rsidP="002B036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Интерпретация текста</w:t>
            </w:r>
          </w:p>
          <w:p w:rsidR="00E25C75" w:rsidRPr="00E25C75" w:rsidRDefault="00E25C75" w:rsidP="002B036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(50%)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C75" w:rsidRPr="00E25C75" w:rsidRDefault="00E25C75" w:rsidP="002B036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Рефлексия на содержание текста/ его форму и их оценка  (25%)</w:t>
            </w:r>
          </w:p>
        </w:tc>
      </w:tr>
      <w:tr w:rsidR="00E25C75" w:rsidRPr="00B60F6B" w:rsidTr="002B0368">
        <w:trPr>
          <w:trHeight w:val="2687"/>
          <w:tblCellSpacing w:w="0" w:type="dxa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5C75" w:rsidRPr="00E25C75" w:rsidRDefault="00E25C75" w:rsidP="002B036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прочитать текст , определить его основные элементы и найти необходимую единицу информации, выраженную в тексте в иной (синонимической) форме, чем в вопросе.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C75" w:rsidRPr="00E25C75" w:rsidRDefault="00E25C75" w:rsidP="002B036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сравнить и противопоставить информацию разного характера, обнаружить доводы в подтверждение выдвинутых тезисов, сделать выводы из сформулированных посылок, вывести заключение о намерении автора или главной мысли текста.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5C75" w:rsidRPr="00E25C75" w:rsidRDefault="00E25C75" w:rsidP="002B036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E25C75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связать информацию, обнаруженную в тексте, со знаниями из других источников, оценить утверждения, сделанные в тексте, исходя из своих представлений о мире, найти доводы в защиту своей точки зрения.</w:t>
            </w:r>
          </w:p>
        </w:tc>
      </w:tr>
    </w:tbl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A76D16" w:rsidRDefault="00A76D16" w:rsidP="007569EF">
      <w:pPr>
        <w:shd w:val="clear" w:color="auto" w:fill="FFFFFF"/>
        <w:spacing w:before="419" w:after="502" w:line="240" w:lineRule="auto"/>
        <w:textAlignment w:val="baseline"/>
        <w:rPr>
          <w:rFonts w:eastAsia="Times New Roman" w:cs="Helvetica"/>
          <w:color w:val="000000"/>
          <w:sz w:val="29"/>
          <w:szCs w:val="29"/>
          <w:lang w:eastAsia="ru-RU"/>
        </w:rPr>
      </w:pPr>
    </w:p>
    <w:p w:rsidR="00A76D16" w:rsidRDefault="00A76D16" w:rsidP="007569EF">
      <w:pPr>
        <w:shd w:val="clear" w:color="auto" w:fill="FFFFFF"/>
        <w:spacing w:before="419" w:after="502" w:line="240" w:lineRule="auto"/>
        <w:textAlignment w:val="baseline"/>
        <w:rPr>
          <w:rFonts w:eastAsia="Times New Roman" w:cs="Helvetica"/>
          <w:color w:val="000000"/>
          <w:sz w:val="29"/>
          <w:szCs w:val="29"/>
          <w:lang w:eastAsia="ru-RU"/>
        </w:rPr>
      </w:pPr>
    </w:p>
    <w:p w:rsidR="00A76D16" w:rsidRDefault="00A76D16" w:rsidP="007569EF">
      <w:pPr>
        <w:shd w:val="clear" w:color="auto" w:fill="FFFFFF"/>
        <w:spacing w:before="419" w:after="502" w:line="240" w:lineRule="auto"/>
        <w:textAlignment w:val="baseline"/>
        <w:rPr>
          <w:rFonts w:eastAsia="Times New Roman" w:cs="Helvetica"/>
          <w:color w:val="000000"/>
          <w:sz w:val="29"/>
          <w:szCs w:val="29"/>
          <w:lang w:eastAsia="ru-RU"/>
        </w:rPr>
      </w:pPr>
    </w:p>
    <w:p w:rsidR="006C5E7C" w:rsidRPr="006C5E7C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eastAsia="Times New Roman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Таблица 1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144"/>
        <w:gridCol w:w="1330"/>
        <w:gridCol w:w="1328"/>
        <w:gridCol w:w="1333"/>
        <w:gridCol w:w="1333"/>
        <w:gridCol w:w="1336"/>
      </w:tblGrid>
      <w:tr w:rsidR="00E25C75" w:rsidTr="006C5E7C">
        <w:trPr>
          <w:trHeight w:val="1549"/>
        </w:trPr>
        <w:tc>
          <w:tcPr>
            <w:tcW w:w="3174" w:type="dxa"/>
          </w:tcPr>
          <w:p w:rsidR="00E25C75" w:rsidRPr="006C5E7C" w:rsidRDefault="00E25C75" w:rsidP="006C5E7C">
            <w:pPr>
              <w:ind w:left="33" w:right="33"/>
              <w:jc w:val="center"/>
              <w:textAlignment w:val="baseline"/>
              <w:rPr>
                <w:rFonts w:eastAsia="Times New Roman" w:cs="Helvetic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Уровни овладения </w:t>
            </w:r>
            <w:proofErr w:type="spellStart"/>
            <w:r w:rsidRPr="007569EF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метапредметными</w:t>
            </w:r>
            <w:proofErr w:type="spellEnd"/>
            <w:r w:rsidRPr="007569EF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умениям</w:t>
            </w:r>
          </w:p>
        </w:tc>
        <w:tc>
          <w:tcPr>
            <w:tcW w:w="1368" w:type="dxa"/>
          </w:tcPr>
          <w:p w:rsidR="00E25C75" w:rsidRDefault="00E25C75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 «Б»</w:t>
            </w:r>
          </w:p>
        </w:tc>
        <w:tc>
          <w:tcPr>
            <w:tcW w:w="1368" w:type="dxa"/>
          </w:tcPr>
          <w:p w:rsidR="00E25C75" w:rsidRDefault="00E25C75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6  «Б»</w:t>
            </w:r>
          </w:p>
        </w:tc>
        <w:tc>
          <w:tcPr>
            <w:tcW w:w="1373" w:type="dxa"/>
          </w:tcPr>
          <w:p w:rsidR="00E25C75" w:rsidRDefault="00E25C75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7 «И»</w:t>
            </w:r>
          </w:p>
        </w:tc>
        <w:tc>
          <w:tcPr>
            <w:tcW w:w="1373" w:type="dxa"/>
          </w:tcPr>
          <w:p w:rsidR="00E25C75" w:rsidRDefault="00E25C75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8 «И»</w:t>
            </w:r>
          </w:p>
        </w:tc>
        <w:tc>
          <w:tcPr>
            <w:tcW w:w="1374" w:type="dxa"/>
          </w:tcPr>
          <w:p w:rsidR="00E25C75" w:rsidRDefault="00E25C75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9 «И»</w:t>
            </w:r>
          </w:p>
        </w:tc>
      </w:tr>
      <w:tr w:rsidR="006C5E7C" w:rsidTr="006C5E7C">
        <w:tc>
          <w:tcPr>
            <w:tcW w:w="3174" w:type="dxa"/>
          </w:tcPr>
          <w:p w:rsidR="006C5E7C" w:rsidRPr="006C5E7C" w:rsidRDefault="006C5E7C" w:rsidP="006C5E7C">
            <w:pPr>
              <w:ind w:left="33" w:right="33"/>
              <w:textAlignment w:val="baseline"/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1368" w:type="dxa"/>
          </w:tcPr>
          <w:p w:rsidR="006C5E7C" w:rsidRPr="006C5E7C" w:rsidRDefault="006C5E7C" w:rsidP="007569EF">
            <w:pPr>
              <w:spacing w:before="419" w:after="502"/>
              <w:textAlignment w:val="baseline"/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5%</w:t>
            </w:r>
          </w:p>
        </w:tc>
        <w:tc>
          <w:tcPr>
            <w:tcW w:w="1368" w:type="dxa"/>
          </w:tcPr>
          <w:p w:rsidR="006C5E7C" w:rsidRPr="006C5E7C" w:rsidRDefault="006C5E7C" w:rsidP="007569EF">
            <w:pPr>
              <w:spacing w:before="419" w:after="502"/>
              <w:textAlignment w:val="baseline"/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7%</w:t>
            </w:r>
          </w:p>
        </w:tc>
        <w:tc>
          <w:tcPr>
            <w:tcW w:w="1373" w:type="dxa"/>
          </w:tcPr>
          <w:p w:rsidR="006C5E7C" w:rsidRPr="006C5E7C" w:rsidRDefault="006C5E7C" w:rsidP="007569EF">
            <w:pPr>
              <w:spacing w:before="419" w:after="502"/>
              <w:textAlignment w:val="baseline"/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6%</w:t>
            </w:r>
          </w:p>
        </w:tc>
        <w:tc>
          <w:tcPr>
            <w:tcW w:w="1373" w:type="dxa"/>
          </w:tcPr>
          <w:p w:rsidR="006C5E7C" w:rsidRPr="006C5E7C" w:rsidRDefault="006C5E7C" w:rsidP="007569EF">
            <w:pPr>
              <w:spacing w:before="419" w:after="502"/>
              <w:textAlignment w:val="baseline"/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5%</w:t>
            </w:r>
          </w:p>
        </w:tc>
        <w:tc>
          <w:tcPr>
            <w:tcW w:w="1374" w:type="dxa"/>
          </w:tcPr>
          <w:p w:rsidR="006C5E7C" w:rsidRPr="006C5E7C" w:rsidRDefault="006C5E7C" w:rsidP="007569EF">
            <w:pPr>
              <w:spacing w:before="419" w:after="502"/>
              <w:textAlignment w:val="baseline"/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10%</w:t>
            </w:r>
          </w:p>
        </w:tc>
      </w:tr>
      <w:tr w:rsidR="00E25C75" w:rsidTr="006C5E7C">
        <w:tc>
          <w:tcPr>
            <w:tcW w:w="3174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368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15%</w:t>
            </w:r>
          </w:p>
        </w:tc>
        <w:tc>
          <w:tcPr>
            <w:tcW w:w="1368" w:type="dxa"/>
          </w:tcPr>
          <w:p w:rsidR="00E25C75" w:rsidRDefault="006C5E7C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16</w:t>
            </w:r>
            <w:r w:rsidR="001272DB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%</w:t>
            </w:r>
          </w:p>
        </w:tc>
        <w:tc>
          <w:tcPr>
            <w:tcW w:w="1373" w:type="dxa"/>
          </w:tcPr>
          <w:p w:rsidR="00E25C75" w:rsidRDefault="006C5E7C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25</w:t>
            </w:r>
            <w:r w:rsidR="001272DB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%</w:t>
            </w:r>
          </w:p>
        </w:tc>
        <w:tc>
          <w:tcPr>
            <w:tcW w:w="1373" w:type="dxa"/>
          </w:tcPr>
          <w:p w:rsidR="00E25C75" w:rsidRDefault="006C5E7C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27</w:t>
            </w:r>
            <w:r w:rsidR="001272DB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%</w:t>
            </w:r>
          </w:p>
        </w:tc>
        <w:tc>
          <w:tcPr>
            <w:tcW w:w="1374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17%</w:t>
            </w:r>
          </w:p>
        </w:tc>
      </w:tr>
      <w:tr w:rsidR="00E25C75" w:rsidTr="006C5E7C">
        <w:tc>
          <w:tcPr>
            <w:tcW w:w="3174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Средний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</w:tcPr>
          <w:p w:rsidR="00E25C75" w:rsidRPr="006C5E7C" w:rsidRDefault="001272DB" w:rsidP="007569EF">
            <w:pPr>
              <w:spacing w:before="419" w:after="502"/>
              <w:textAlignment w:val="baseline"/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8</w:t>
            </w:r>
            <w:r w:rsidR="006C5E7C"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368" w:type="dxa"/>
          </w:tcPr>
          <w:p w:rsidR="00E25C75" w:rsidRDefault="006C5E7C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6</w:t>
            </w:r>
            <w:r w:rsidR="001272DB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1373" w:type="dxa"/>
          </w:tcPr>
          <w:p w:rsidR="00E25C75" w:rsidRPr="006C5E7C" w:rsidRDefault="006C5E7C" w:rsidP="007569EF">
            <w:pPr>
              <w:spacing w:before="419" w:after="502"/>
              <w:textAlignment w:val="baseline"/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57</w:t>
            </w:r>
          </w:p>
        </w:tc>
        <w:tc>
          <w:tcPr>
            <w:tcW w:w="1373" w:type="dxa"/>
          </w:tcPr>
          <w:p w:rsidR="00E25C75" w:rsidRDefault="006C5E7C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6</w:t>
            </w:r>
            <w:r w:rsidR="001272DB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374" w:type="dxa"/>
          </w:tcPr>
          <w:p w:rsidR="00E25C75" w:rsidRDefault="006C5E7C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Helvetica"/>
                <w:color w:val="000000"/>
                <w:sz w:val="29"/>
                <w:szCs w:val="29"/>
                <w:lang w:eastAsia="ru-RU"/>
              </w:rPr>
              <w:t>6</w:t>
            </w:r>
            <w:r w:rsidR="001272DB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7</w:t>
            </w:r>
          </w:p>
        </w:tc>
      </w:tr>
      <w:tr w:rsidR="00E25C75" w:rsidTr="006C5E7C">
        <w:tc>
          <w:tcPr>
            <w:tcW w:w="3174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Низкий</w:t>
            </w:r>
          </w:p>
        </w:tc>
        <w:tc>
          <w:tcPr>
            <w:tcW w:w="1368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1368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1373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1373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1374" w:type="dxa"/>
          </w:tcPr>
          <w:p w:rsidR="00E25C75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6</w:t>
            </w:r>
          </w:p>
        </w:tc>
      </w:tr>
    </w:tbl>
    <w:p w:rsidR="001272DB" w:rsidRDefault="001272DB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0"/>
        <w:gridCol w:w="1472"/>
        <w:gridCol w:w="1483"/>
        <w:gridCol w:w="1483"/>
        <w:gridCol w:w="1483"/>
        <w:gridCol w:w="1484"/>
      </w:tblGrid>
      <w:tr w:rsidR="001272DB" w:rsidTr="001272DB">
        <w:tc>
          <w:tcPr>
            <w:tcW w:w="1595" w:type="dxa"/>
          </w:tcPr>
          <w:p w:rsidR="001272DB" w:rsidRDefault="001272DB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Блоки читательских умений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7722" w:rsidRPr="007569EF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процент выполнения группы заданий</w:t>
            </w:r>
          </w:p>
        </w:tc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 «Б»</w:t>
            </w:r>
          </w:p>
        </w:tc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6  «Б»</w:t>
            </w:r>
          </w:p>
        </w:tc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7 «И»</w:t>
            </w:r>
          </w:p>
        </w:tc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8 «И»</w:t>
            </w:r>
          </w:p>
        </w:tc>
        <w:tc>
          <w:tcPr>
            <w:tcW w:w="1596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9 «И»</w:t>
            </w:r>
          </w:p>
        </w:tc>
      </w:tr>
      <w:tr w:rsidR="001272DB" w:rsidTr="001272DB"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5C53C1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56 %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45 %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5C53C1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56 %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43 %</w:t>
            </w:r>
          </w:p>
        </w:tc>
        <w:tc>
          <w:tcPr>
            <w:tcW w:w="1596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52%</w:t>
            </w:r>
          </w:p>
        </w:tc>
      </w:tr>
      <w:tr w:rsidR="001272DB" w:rsidTr="001272DB"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Ориентация в содержании текста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5C53C1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64 %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58%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64%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40%</w:t>
            </w:r>
          </w:p>
        </w:tc>
        <w:tc>
          <w:tcPr>
            <w:tcW w:w="1596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65%</w:t>
            </w:r>
          </w:p>
        </w:tc>
      </w:tr>
      <w:tr w:rsidR="001272DB" w:rsidTr="001272DB"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Интерпретация информации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5C53C1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46 %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40%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38%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39%</w:t>
            </w:r>
          </w:p>
        </w:tc>
        <w:tc>
          <w:tcPr>
            <w:tcW w:w="1596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53%</w:t>
            </w:r>
          </w:p>
        </w:tc>
      </w:tr>
      <w:tr w:rsidR="001272DB" w:rsidTr="001272DB">
        <w:tc>
          <w:tcPr>
            <w:tcW w:w="1595" w:type="dxa"/>
          </w:tcPr>
          <w:p w:rsidR="001272DB" w:rsidRDefault="00707722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Высказывание оценочных суждений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5C53C1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43 %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32%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38%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36%</w:t>
            </w:r>
          </w:p>
        </w:tc>
        <w:tc>
          <w:tcPr>
            <w:tcW w:w="1596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43%</w:t>
            </w:r>
          </w:p>
        </w:tc>
      </w:tr>
      <w:tr w:rsidR="001272DB" w:rsidTr="001272DB"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Создание собственных текстов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 w:rsidRPr="005C53C1"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23 %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21%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32%</w:t>
            </w:r>
          </w:p>
        </w:tc>
        <w:tc>
          <w:tcPr>
            <w:tcW w:w="1595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22%</w:t>
            </w:r>
          </w:p>
        </w:tc>
        <w:tc>
          <w:tcPr>
            <w:tcW w:w="1596" w:type="dxa"/>
          </w:tcPr>
          <w:p w:rsidR="001272DB" w:rsidRDefault="005C53C1" w:rsidP="007569EF">
            <w:pPr>
              <w:spacing w:before="419" w:after="502"/>
              <w:textAlignment w:val="baseline"/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9"/>
                <w:szCs w:val="29"/>
                <w:lang w:eastAsia="ru-RU"/>
              </w:rPr>
              <w:t>35%</w:t>
            </w:r>
          </w:p>
        </w:tc>
      </w:tr>
    </w:tbl>
    <w:p w:rsidR="001272DB" w:rsidRDefault="00DC2B60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Таблица 3</w:t>
      </w:r>
    </w:p>
    <w:p w:rsidR="00DC2B60" w:rsidRDefault="00DC2B60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Средний процент выполнения заданий</w:t>
      </w:r>
    </w:p>
    <w:tbl>
      <w:tblPr>
        <w:tblStyle w:val="a8"/>
        <w:tblpPr w:leftFromText="180" w:rightFromText="180" w:vertAnchor="text" w:horzAnchor="margin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949"/>
        <w:gridCol w:w="1228"/>
        <w:gridCol w:w="1292"/>
        <w:gridCol w:w="1292"/>
        <w:gridCol w:w="1292"/>
      </w:tblGrid>
      <w:tr w:rsidR="00DC2B60" w:rsidTr="00E87294">
        <w:tc>
          <w:tcPr>
            <w:tcW w:w="949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28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Всех заданий теста</w:t>
            </w:r>
          </w:p>
        </w:tc>
        <w:tc>
          <w:tcPr>
            <w:tcW w:w="1292" w:type="dxa"/>
          </w:tcPr>
          <w:p w:rsidR="00DC2B60" w:rsidRPr="007569EF" w:rsidRDefault="00DC2B60" w:rsidP="00DC2B60">
            <w:pPr>
              <w:ind w:left="33"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Заданий</w:t>
            </w:r>
          </w:p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уровня 1</w:t>
            </w:r>
          </w:p>
        </w:tc>
        <w:tc>
          <w:tcPr>
            <w:tcW w:w="1292" w:type="dxa"/>
          </w:tcPr>
          <w:p w:rsidR="00DC2B60" w:rsidRPr="007569EF" w:rsidRDefault="00DC2B60" w:rsidP="00DC2B60">
            <w:pPr>
              <w:ind w:left="33"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Заданий</w:t>
            </w:r>
          </w:p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уровня 2</w:t>
            </w:r>
          </w:p>
        </w:tc>
        <w:tc>
          <w:tcPr>
            <w:tcW w:w="1292" w:type="dxa"/>
            <w:vAlign w:val="bottom"/>
          </w:tcPr>
          <w:p w:rsidR="00DC2B60" w:rsidRPr="007569EF" w:rsidRDefault="00DC2B60" w:rsidP="002B0368">
            <w:pPr>
              <w:ind w:left="33"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Заданий</w:t>
            </w:r>
          </w:p>
          <w:p w:rsidR="00DC2B60" w:rsidRPr="007569EF" w:rsidRDefault="00DC2B60" w:rsidP="002B0368">
            <w:pPr>
              <w:ind w:left="33"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7569E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уровня 3</w:t>
            </w:r>
          </w:p>
        </w:tc>
      </w:tr>
      <w:tr w:rsidR="00DC2B60" w:rsidTr="00DC2B60">
        <w:tc>
          <w:tcPr>
            <w:tcW w:w="949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228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DC2B60" w:rsidTr="00DC2B60">
        <w:tc>
          <w:tcPr>
            <w:tcW w:w="949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228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DC2B60" w:rsidTr="00DC2B60">
        <w:tc>
          <w:tcPr>
            <w:tcW w:w="949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 «И»</w:t>
            </w:r>
          </w:p>
        </w:tc>
        <w:tc>
          <w:tcPr>
            <w:tcW w:w="1228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DC2B60" w:rsidTr="00DC2B60">
        <w:tc>
          <w:tcPr>
            <w:tcW w:w="949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«И»</w:t>
            </w:r>
          </w:p>
        </w:tc>
        <w:tc>
          <w:tcPr>
            <w:tcW w:w="1228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DC2B60" w:rsidTr="00DC2B60">
        <w:tc>
          <w:tcPr>
            <w:tcW w:w="949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9 «И»</w:t>
            </w:r>
          </w:p>
        </w:tc>
        <w:tc>
          <w:tcPr>
            <w:tcW w:w="1228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92" w:type="dxa"/>
          </w:tcPr>
          <w:p w:rsidR="00DC2B60" w:rsidRDefault="00DC2B60" w:rsidP="00DC2B60">
            <w:pPr>
              <w:ind w:right="33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</w:tbl>
    <w:p w:rsidR="007569EF" w:rsidRPr="007569EF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7569EF" w:rsidRPr="007569EF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:rsidR="00DC2B60" w:rsidRDefault="00DC2B60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DC2B60" w:rsidRDefault="00DC2B60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7569EF" w:rsidRPr="007569EF" w:rsidRDefault="007569EF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7569EF">
        <w:rPr>
          <w:rFonts w:ascii="Helvetica" w:eastAsia="Times New Roman" w:hAnsi="Helvetica" w:cs="Helvetica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Выводы и рекомендации</w:t>
      </w:r>
    </w:p>
    <w:p w:rsidR="00992F68" w:rsidRDefault="00992F68" w:rsidP="00992F68">
      <w:pPr>
        <w:spacing w:after="0" w:line="240" w:lineRule="auto"/>
        <w:ind w:firstLine="708"/>
        <w:jc w:val="both"/>
        <w:rPr>
          <w:rFonts w:eastAsia="Times New Roman" w:cs="Helvetica"/>
          <w:color w:val="000000"/>
          <w:sz w:val="29"/>
          <w:szCs w:val="29"/>
          <w:lang w:eastAsia="ru-RU"/>
        </w:rPr>
      </w:pPr>
      <w:r w:rsidRPr="00992F6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Согласно полученному результату, выявлены следующие проблемные зоны </w:t>
      </w:r>
      <w:proofErr w:type="spellStart"/>
      <w:r w:rsidRPr="00992F6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сформированности</w:t>
      </w:r>
      <w:proofErr w:type="spellEnd"/>
      <w:r w:rsidRPr="00992F6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читательской грамотности и отдельных видов читательских умений, на основании которых можно составить реестр затруднений обучающихся</w:t>
      </w:r>
      <w:r>
        <w:rPr>
          <w:rFonts w:eastAsia="Times New Roman" w:cs="Helvetica"/>
          <w:color w:val="000000"/>
          <w:sz w:val="29"/>
          <w:szCs w:val="29"/>
          <w:lang w:eastAsia="ru-RU"/>
        </w:rPr>
        <w:t>.</w:t>
      </w:r>
    </w:p>
    <w:p w:rsidR="00C85F21" w:rsidRDefault="00992F68" w:rsidP="00992F68">
      <w:pPr>
        <w:spacing w:after="0" w:line="240" w:lineRule="auto"/>
        <w:ind w:firstLine="708"/>
        <w:jc w:val="both"/>
        <w:rPr>
          <w:rFonts w:eastAsia="Times New Roman" w:cs="Helvetica"/>
          <w:color w:val="000000"/>
          <w:sz w:val="29"/>
          <w:szCs w:val="29"/>
          <w:lang w:eastAsia="ru-RU"/>
        </w:rPr>
      </w:pPr>
      <w:r w:rsidRPr="00992F6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</w:t>
      </w:r>
      <w:r w:rsidRPr="00992F6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зрения), (интерпретация – умение интегрировать (связывать в единую картину) и интерпретировать (прояснять для самого себя) информацию содержащуюся в тексте), (вычитывание – умение находить и извлекать информацию из текста).</w:t>
      </w:r>
    </w:p>
    <w:p w:rsidR="001168A0" w:rsidRPr="007569EF" w:rsidRDefault="00992F68" w:rsidP="00992F68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992F6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</w:p>
    <w:p w:rsidR="00C85F21" w:rsidRDefault="00C85F21" w:rsidP="007569E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C85F21" w:rsidRDefault="007569EF" w:rsidP="007569E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 w:rsidRPr="007569EF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Рекомендации:</w:t>
      </w:r>
    </w:p>
    <w:p w:rsidR="007569EF" w:rsidRPr="00C85F21" w:rsidRDefault="00C85F21" w:rsidP="007569E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 </w:t>
      </w:r>
      <w:r>
        <w:rPr>
          <w:rFonts w:eastAsia="Times New Roman" w:cs="Helvetica"/>
          <w:color w:val="000000"/>
          <w:sz w:val="29"/>
          <w:szCs w:val="29"/>
          <w:lang w:eastAsia="ru-RU"/>
        </w:rPr>
        <w:t xml:space="preserve">   П</w:t>
      </w:r>
      <w:r w:rsidR="007569EF"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о результатам диагностической работы необходимо усилить </w:t>
      </w:r>
      <w:proofErr w:type="spellStart"/>
      <w:r w:rsidR="007569EF"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деятельностную</w:t>
      </w:r>
      <w:proofErr w:type="spellEnd"/>
      <w:r w:rsidR="007569EF"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составляющую в обучении, целесообразно используя в работе разнообразные методы, обеспечивающие овладение необходимыми знаниями, и, главное, формирование умений пользоваться этими знаниями, как в стандартной ситуации, так и в измененных условиях.</w:t>
      </w:r>
    </w:p>
    <w:p w:rsidR="007569EF" w:rsidRPr="007569EF" w:rsidRDefault="00C85F21" w:rsidP="007569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eastAsia="Times New Roman" w:cs="Helvetica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      </w:t>
      </w:r>
      <w:r w:rsidR="007569EF" w:rsidRPr="007569EF">
        <w:rPr>
          <w:rFonts w:ascii="Helvetica" w:eastAsia="Times New Roman" w:hAnsi="Helvetica" w:cs="Helvetica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Учителям-предметникам (математики, литературы, биологии, географии):</w:t>
      </w:r>
    </w:p>
    <w:p w:rsidR="007569EF" w:rsidRPr="007569EF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EF">
        <w:rPr>
          <w:rFonts w:ascii="Helvetica" w:eastAsia="Times New Roman" w:hAnsi="Helvetica" w:cs="Helvetica"/>
          <w:color w:val="000000"/>
          <w:sz w:val="29"/>
          <w:szCs w:val="29"/>
          <w:shd w:val="clear" w:color="auto" w:fill="FFFFFF"/>
          <w:lang w:eastAsia="ru-RU"/>
        </w:rPr>
        <w:t xml:space="preserve">Учитывая существенную разницу в понимании разных видов текста, учителям следует особое внимание уделить развитию читательских умений на основе информационных и естественнонаучных текстов. </w:t>
      </w:r>
      <w:r w:rsidR="00C85F21">
        <w:rPr>
          <w:rFonts w:eastAsia="Times New Roman" w:cs="Helvetica"/>
          <w:color w:val="000000"/>
          <w:sz w:val="29"/>
          <w:szCs w:val="29"/>
          <w:shd w:val="clear" w:color="auto" w:fill="FFFFFF"/>
          <w:lang w:eastAsia="ru-RU"/>
        </w:rPr>
        <w:t xml:space="preserve">       </w:t>
      </w:r>
      <w:r w:rsidRPr="007569EF">
        <w:rPr>
          <w:rFonts w:ascii="Helvetica" w:eastAsia="Times New Roman" w:hAnsi="Helvetica" w:cs="Helvetica"/>
          <w:color w:val="000000"/>
          <w:sz w:val="29"/>
          <w:szCs w:val="29"/>
          <w:shd w:val="clear" w:color="auto" w:fill="FFFFFF"/>
          <w:lang w:eastAsia="ru-RU"/>
        </w:rPr>
        <w:t>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постоянно.</w:t>
      </w:r>
    </w:p>
    <w:p w:rsidR="007569EF" w:rsidRPr="007569EF" w:rsidRDefault="00C85F21" w:rsidP="007569EF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</w:t>
      </w:r>
      <w:r>
        <w:rPr>
          <w:rFonts w:eastAsia="Times New Roman" w:cs="Helvetica"/>
          <w:color w:val="000000"/>
          <w:sz w:val="29"/>
          <w:szCs w:val="29"/>
          <w:lang w:eastAsia="ru-RU"/>
        </w:rPr>
        <w:t>9.05.2021</w:t>
      </w:r>
      <w:r w:rsidR="007569EF" w:rsidRPr="007569EF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г.</w:t>
      </w:r>
    </w:p>
    <w:p w:rsidR="007569EF" w:rsidRPr="00C85F21" w:rsidRDefault="00C85F21" w:rsidP="007569EF">
      <w:pPr>
        <w:shd w:val="clear" w:color="auto" w:fill="FFFFFF"/>
        <w:spacing w:before="419" w:after="502" w:line="240" w:lineRule="auto"/>
        <w:textAlignment w:val="baseline"/>
        <w:rPr>
          <w:rFonts w:eastAsia="Times New Roman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Руководитель </w:t>
      </w:r>
      <w:r>
        <w:rPr>
          <w:rFonts w:eastAsia="Times New Roman" w:cs="Helvetica"/>
          <w:color w:val="000000"/>
          <w:sz w:val="29"/>
          <w:szCs w:val="29"/>
          <w:lang w:eastAsia="ru-RU"/>
        </w:rPr>
        <w:t>ШМО – Васильева И.В.</w:t>
      </w:r>
    </w:p>
    <w:p w:rsidR="00543473" w:rsidRDefault="00543473"/>
    <w:sectPr w:rsidR="00543473" w:rsidSect="0054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6977"/>
    <w:multiLevelType w:val="hybridMultilevel"/>
    <w:tmpl w:val="6D5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EF"/>
    <w:rsid w:val="000E6D9B"/>
    <w:rsid w:val="001168A0"/>
    <w:rsid w:val="001272DB"/>
    <w:rsid w:val="0025232A"/>
    <w:rsid w:val="00543473"/>
    <w:rsid w:val="005C53C1"/>
    <w:rsid w:val="006C5E7C"/>
    <w:rsid w:val="00707722"/>
    <w:rsid w:val="007569EF"/>
    <w:rsid w:val="007E55D7"/>
    <w:rsid w:val="00831F33"/>
    <w:rsid w:val="00873FF5"/>
    <w:rsid w:val="009736D7"/>
    <w:rsid w:val="00992F68"/>
    <w:rsid w:val="00A76D16"/>
    <w:rsid w:val="00C85F21"/>
    <w:rsid w:val="00DC2B60"/>
    <w:rsid w:val="00E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41BC-0CC8-9C4C-B97E-8C94F46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9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9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6D9B"/>
    <w:pPr>
      <w:ind w:left="720"/>
      <w:contextualSpacing/>
    </w:pPr>
  </w:style>
  <w:style w:type="table" w:styleId="a8">
    <w:name w:val="Table Grid"/>
    <w:basedOn w:val="a1"/>
    <w:uiPriority w:val="59"/>
    <w:rsid w:val="00E2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pandia.ru/text/category/vipolnenie_rabot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5039-9D58-43BD-AEEB-F3AB79CB25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153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И.В.</dc:creator>
  <cp:lastModifiedBy>i-vasi@list.ru</cp:lastModifiedBy>
  <cp:revision>2</cp:revision>
  <dcterms:created xsi:type="dcterms:W3CDTF">2021-05-19T14:32:00Z</dcterms:created>
  <dcterms:modified xsi:type="dcterms:W3CDTF">2021-05-19T14:32:00Z</dcterms:modified>
</cp:coreProperties>
</file>